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E75" w:rsidRDefault="00DD1E75" w:rsidP="00DD1E75">
      <w:pPr>
        <w:spacing w:line="360" w:lineRule="auto"/>
        <w:jc w:val="both"/>
        <w:rPr>
          <w:sz w:val="22"/>
        </w:rPr>
      </w:pPr>
      <w:r>
        <w:rPr>
          <w:sz w:val="22"/>
        </w:rPr>
        <w:t>Press Release</w:t>
      </w:r>
      <w:r w:rsidRPr="002E6EB3">
        <w:rPr>
          <w:sz w:val="22"/>
        </w:rPr>
        <w:t xml:space="preserve">: </w:t>
      </w:r>
    </w:p>
    <w:p w:rsidR="00DD1E75" w:rsidRDefault="00DD1E75" w:rsidP="00DD1E75">
      <w:pPr>
        <w:spacing w:line="360" w:lineRule="auto"/>
        <w:jc w:val="both"/>
        <w:rPr>
          <w:sz w:val="22"/>
        </w:rPr>
      </w:pPr>
    </w:p>
    <w:p w:rsidR="00DD1E75" w:rsidRDefault="00DD1E75" w:rsidP="00DD1E75">
      <w:pPr>
        <w:spacing w:line="360" w:lineRule="auto"/>
        <w:jc w:val="both"/>
        <w:rPr>
          <w:b/>
          <w:sz w:val="22"/>
        </w:rPr>
      </w:pPr>
      <w:r w:rsidRPr="00DD1E75">
        <w:rPr>
          <w:b/>
          <w:sz w:val="28"/>
          <w:szCs w:val="28"/>
        </w:rPr>
        <w:t>What should be done before calling for (Belgrade) elections?</w:t>
      </w:r>
    </w:p>
    <w:p w:rsidR="00DD1E75" w:rsidRPr="002E6EB3" w:rsidRDefault="00DD1E75" w:rsidP="00DD1E75">
      <w:pPr>
        <w:spacing w:line="360" w:lineRule="auto"/>
        <w:jc w:val="both"/>
        <w:rPr>
          <w:sz w:val="22"/>
        </w:rPr>
      </w:pPr>
    </w:p>
    <w:p w:rsidR="00DD1E75" w:rsidRDefault="00DD1E75" w:rsidP="00DD1E75">
      <w:pPr>
        <w:spacing w:line="360" w:lineRule="auto"/>
        <w:jc w:val="both"/>
        <w:rPr>
          <w:sz w:val="22"/>
        </w:rPr>
      </w:pPr>
      <w:r>
        <w:rPr>
          <w:sz w:val="22"/>
        </w:rPr>
        <w:t>On the occasion of possible calling for Belgrade Assembly elections and increasing announcements for parliamentary and other elections</w:t>
      </w:r>
      <w:r w:rsidRPr="002E6EB3">
        <w:rPr>
          <w:sz w:val="22"/>
        </w:rPr>
        <w:t>, Transparen</w:t>
      </w:r>
      <w:r>
        <w:rPr>
          <w:sz w:val="22"/>
        </w:rPr>
        <w:t>cy</w:t>
      </w:r>
      <w:r w:rsidRPr="002E6EB3">
        <w:rPr>
          <w:sz w:val="22"/>
        </w:rPr>
        <w:t xml:space="preserve"> – S</w:t>
      </w:r>
      <w:r>
        <w:rPr>
          <w:sz w:val="22"/>
        </w:rPr>
        <w:t>e</w:t>
      </w:r>
      <w:r w:rsidRPr="002E6EB3">
        <w:rPr>
          <w:sz w:val="22"/>
        </w:rPr>
        <w:t>rbia (</w:t>
      </w:r>
      <w:r>
        <w:rPr>
          <w:sz w:val="22"/>
        </w:rPr>
        <w:t xml:space="preserve">accredited chapter of Transparency </w:t>
      </w:r>
      <w:r w:rsidRPr="002E6EB3">
        <w:rPr>
          <w:sz w:val="22"/>
        </w:rPr>
        <w:t xml:space="preserve">International) </w:t>
      </w:r>
      <w:r>
        <w:rPr>
          <w:sz w:val="22"/>
        </w:rPr>
        <w:t xml:space="preserve">indicates that </w:t>
      </w:r>
      <w:r>
        <w:rPr>
          <w:b/>
          <w:sz w:val="22"/>
        </w:rPr>
        <w:t>changes of the law and other measures are necessary for avoiding of campaign becoming battlefield for corruption and public resources’ abuses</w:t>
      </w:r>
      <w:r>
        <w:rPr>
          <w:sz w:val="22"/>
        </w:rPr>
        <w:t>, as it was so far. Priorities are following</w:t>
      </w:r>
      <w:r w:rsidRPr="002E6EB3">
        <w:rPr>
          <w:sz w:val="22"/>
        </w:rPr>
        <w:t xml:space="preserve">: </w:t>
      </w:r>
    </w:p>
    <w:p w:rsidR="00DD1E75" w:rsidRPr="002E6EB3" w:rsidRDefault="00DD1E75" w:rsidP="00DD1E75">
      <w:pPr>
        <w:spacing w:line="360" w:lineRule="auto"/>
        <w:jc w:val="both"/>
        <w:rPr>
          <w:sz w:val="22"/>
        </w:rPr>
      </w:pPr>
    </w:p>
    <w:p w:rsidR="00DD1E75" w:rsidRPr="002E6EB3" w:rsidRDefault="00DD1E75" w:rsidP="00DD1E75">
      <w:pPr>
        <w:pStyle w:val="ListParagraph"/>
        <w:numPr>
          <w:ilvl w:val="0"/>
          <w:numId w:val="2"/>
        </w:numPr>
        <w:spacing w:line="360" w:lineRule="auto"/>
        <w:jc w:val="both"/>
        <w:rPr>
          <w:sz w:val="22"/>
        </w:rPr>
      </w:pPr>
      <w:r>
        <w:rPr>
          <w:sz w:val="22"/>
        </w:rPr>
        <w:t xml:space="preserve">Anticorruption Agency should </w:t>
      </w:r>
      <w:r>
        <w:rPr>
          <w:b/>
          <w:sz w:val="22"/>
        </w:rPr>
        <w:t>finalize election campaign 2012 financial reports’ control</w:t>
      </w:r>
      <w:r w:rsidRPr="002E6EB3">
        <w:rPr>
          <w:b/>
          <w:sz w:val="22"/>
        </w:rPr>
        <w:t xml:space="preserve">, </w:t>
      </w:r>
      <w:r>
        <w:rPr>
          <w:b/>
          <w:sz w:val="22"/>
        </w:rPr>
        <w:t>initiate procedures in all cases of law violation</w:t>
      </w:r>
      <w:r>
        <w:rPr>
          <w:sz w:val="22"/>
        </w:rPr>
        <w:t xml:space="preserve"> and publish those data</w:t>
      </w:r>
      <w:r w:rsidRPr="002E6EB3">
        <w:rPr>
          <w:sz w:val="22"/>
        </w:rPr>
        <w:t xml:space="preserve">. </w:t>
      </w:r>
      <w:r>
        <w:rPr>
          <w:sz w:val="22"/>
        </w:rPr>
        <w:t>Publishing of these data will have, according to estimation of TS, preventive effect against rules’ violation in new election campaign but would also provide voters with important information on previous complying with anticorruption regulations</w:t>
      </w:r>
      <w:r w:rsidRPr="002E6EB3">
        <w:rPr>
          <w:sz w:val="22"/>
        </w:rPr>
        <w:t xml:space="preserve">. </w:t>
      </w:r>
    </w:p>
    <w:p w:rsidR="00DD1E75" w:rsidRPr="002E6EB3" w:rsidRDefault="00DD1E75" w:rsidP="00DD1E75">
      <w:pPr>
        <w:pStyle w:val="ListParagraph"/>
        <w:numPr>
          <w:ilvl w:val="0"/>
          <w:numId w:val="2"/>
        </w:numPr>
        <w:spacing w:line="360" w:lineRule="auto"/>
        <w:jc w:val="both"/>
        <w:rPr>
          <w:sz w:val="22"/>
        </w:rPr>
      </w:pPr>
      <w:r>
        <w:rPr>
          <w:sz w:val="22"/>
        </w:rPr>
        <w:t xml:space="preserve">Police and public prosecution, before calling for elections, should inform on the progress </w:t>
      </w:r>
      <w:r>
        <w:rPr>
          <w:b/>
          <w:sz w:val="22"/>
        </w:rPr>
        <w:t xml:space="preserve">in investigating of all criminal acts </w:t>
      </w:r>
      <w:r>
        <w:rPr>
          <w:sz w:val="22"/>
        </w:rPr>
        <w:t>for which political competitors accused each other of during 2012 elections</w:t>
      </w:r>
      <w:r w:rsidRPr="002E6EB3">
        <w:rPr>
          <w:sz w:val="22"/>
        </w:rPr>
        <w:t xml:space="preserve">, </w:t>
      </w:r>
      <w:r>
        <w:rPr>
          <w:sz w:val="22"/>
        </w:rPr>
        <w:t xml:space="preserve">especially related to </w:t>
      </w:r>
      <w:r>
        <w:rPr>
          <w:b/>
          <w:sz w:val="22"/>
        </w:rPr>
        <w:t>irregularities in votes’ counting</w:t>
      </w:r>
      <w:r w:rsidRPr="002E6EB3">
        <w:rPr>
          <w:b/>
          <w:sz w:val="22"/>
        </w:rPr>
        <w:t xml:space="preserve">, </w:t>
      </w:r>
      <w:r>
        <w:rPr>
          <w:b/>
          <w:sz w:val="22"/>
        </w:rPr>
        <w:t>votes’ buying and abuse of public resources</w:t>
      </w:r>
      <w:r w:rsidRPr="002E6EB3">
        <w:rPr>
          <w:sz w:val="22"/>
        </w:rPr>
        <w:t>.</w:t>
      </w:r>
    </w:p>
    <w:p w:rsidR="00DD1E75" w:rsidRPr="002E6EB3" w:rsidRDefault="00DD1E75" w:rsidP="00DD1E75">
      <w:pPr>
        <w:pStyle w:val="ListParagraph"/>
        <w:numPr>
          <w:ilvl w:val="0"/>
          <w:numId w:val="2"/>
        </w:numPr>
        <w:spacing w:line="360" w:lineRule="auto"/>
        <w:jc w:val="both"/>
        <w:rPr>
          <w:sz w:val="22"/>
        </w:rPr>
      </w:pPr>
      <w:r>
        <w:rPr>
          <w:sz w:val="22"/>
        </w:rPr>
        <w:t xml:space="preserve">To regulate more precisely </w:t>
      </w:r>
      <w:r>
        <w:rPr>
          <w:b/>
          <w:sz w:val="22"/>
        </w:rPr>
        <w:t>party leaders’ and candidates’ promotion that  are at the same time public officials during election campaign</w:t>
      </w:r>
      <w:r w:rsidRPr="002E6EB3">
        <w:rPr>
          <w:sz w:val="22"/>
        </w:rPr>
        <w:t xml:space="preserve">. </w:t>
      </w:r>
      <w:r>
        <w:rPr>
          <w:sz w:val="22"/>
        </w:rPr>
        <w:t xml:space="preserve">Monitoring of </w:t>
      </w:r>
      <w:r w:rsidRPr="002E6EB3">
        <w:rPr>
          <w:sz w:val="22"/>
        </w:rPr>
        <w:t>Transparen</w:t>
      </w:r>
      <w:r>
        <w:rPr>
          <w:sz w:val="22"/>
        </w:rPr>
        <w:t>cy</w:t>
      </w:r>
      <w:r w:rsidRPr="002E6EB3">
        <w:rPr>
          <w:sz w:val="22"/>
        </w:rPr>
        <w:t xml:space="preserve"> – S</w:t>
      </w:r>
      <w:r>
        <w:rPr>
          <w:sz w:val="22"/>
        </w:rPr>
        <w:t>e</w:t>
      </w:r>
      <w:r w:rsidRPr="002E6EB3">
        <w:rPr>
          <w:sz w:val="22"/>
        </w:rPr>
        <w:t xml:space="preserve">rbia </w:t>
      </w:r>
      <w:r>
        <w:rPr>
          <w:sz w:val="22"/>
        </w:rPr>
        <w:t>in</w:t>
      </w:r>
      <w:r w:rsidRPr="002E6EB3">
        <w:rPr>
          <w:sz w:val="22"/>
        </w:rPr>
        <w:t xml:space="preserve"> 2012 </w:t>
      </w:r>
      <w:r>
        <w:rPr>
          <w:sz w:val="22"/>
        </w:rPr>
        <w:t>determined increase of “regular” activities of existing officials up to amazing</w:t>
      </w:r>
      <w:r w:rsidRPr="002E6EB3">
        <w:rPr>
          <w:sz w:val="22"/>
        </w:rPr>
        <w:t xml:space="preserve">2 </w:t>
      </w:r>
      <w:r>
        <w:rPr>
          <w:sz w:val="22"/>
        </w:rPr>
        <w:t>to</w:t>
      </w:r>
      <w:r w:rsidRPr="002E6EB3">
        <w:rPr>
          <w:sz w:val="22"/>
        </w:rPr>
        <w:t xml:space="preserve"> 17 </w:t>
      </w:r>
      <w:r>
        <w:rPr>
          <w:sz w:val="22"/>
        </w:rPr>
        <w:t>times compared to non-election period</w:t>
      </w:r>
      <w:r w:rsidRPr="002E6EB3">
        <w:rPr>
          <w:sz w:val="22"/>
        </w:rPr>
        <w:t xml:space="preserve">. </w:t>
      </w:r>
      <w:r>
        <w:rPr>
          <w:sz w:val="22"/>
        </w:rPr>
        <w:t>Extraordinary local elections organized in the past year show continuation of this practice. It especially refers to signing of agreements with investors</w:t>
      </w:r>
      <w:r w:rsidRPr="002E6EB3">
        <w:rPr>
          <w:sz w:val="22"/>
        </w:rPr>
        <w:t xml:space="preserve">, </w:t>
      </w:r>
      <w:r>
        <w:rPr>
          <w:sz w:val="22"/>
        </w:rPr>
        <w:t>opening of public objects</w:t>
      </w:r>
      <w:r w:rsidRPr="002E6EB3">
        <w:rPr>
          <w:sz w:val="22"/>
        </w:rPr>
        <w:t xml:space="preserve">, </w:t>
      </w:r>
      <w:r>
        <w:rPr>
          <w:sz w:val="22"/>
        </w:rPr>
        <w:t>visits to construction sites, disburse of social aid and other events</w:t>
      </w:r>
      <w:r w:rsidRPr="002E6EB3">
        <w:rPr>
          <w:sz w:val="22"/>
        </w:rPr>
        <w:t xml:space="preserve">. </w:t>
      </w:r>
      <w:r>
        <w:rPr>
          <w:sz w:val="22"/>
        </w:rPr>
        <w:t>If such promotions are necessary during the election campaign</w:t>
      </w:r>
      <w:r w:rsidRPr="002E6EB3">
        <w:rPr>
          <w:sz w:val="22"/>
        </w:rPr>
        <w:t xml:space="preserve">, </w:t>
      </w:r>
      <w:r>
        <w:rPr>
          <w:b/>
          <w:sz w:val="22"/>
        </w:rPr>
        <w:t>presence of politicians is certainly unnecessary</w:t>
      </w:r>
      <w:r>
        <w:rPr>
          <w:sz w:val="22"/>
        </w:rPr>
        <w:t xml:space="preserve"> – it could be done by civil servants who do not participate in the election campaign</w:t>
      </w:r>
      <w:r w:rsidRPr="002E6EB3">
        <w:rPr>
          <w:sz w:val="22"/>
        </w:rPr>
        <w:t xml:space="preserve">. </w:t>
      </w:r>
    </w:p>
    <w:p w:rsidR="00DD1E75" w:rsidRPr="002E6EB3" w:rsidRDefault="00DD1E75" w:rsidP="00DD1E75">
      <w:pPr>
        <w:pStyle w:val="ListParagraph"/>
        <w:numPr>
          <w:ilvl w:val="0"/>
          <w:numId w:val="2"/>
        </w:numPr>
        <w:spacing w:line="360" w:lineRule="auto"/>
        <w:jc w:val="both"/>
        <w:rPr>
          <w:sz w:val="22"/>
        </w:rPr>
      </w:pPr>
      <w:r>
        <w:rPr>
          <w:sz w:val="22"/>
        </w:rPr>
        <w:lastRenderedPageBreak/>
        <w:t xml:space="preserve">To </w:t>
      </w:r>
      <w:r>
        <w:rPr>
          <w:b/>
          <w:sz w:val="22"/>
        </w:rPr>
        <w:t xml:space="preserve">change media regulations </w:t>
      </w:r>
      <w:r w:rsidRPr="00EF581E">
        <w:rPr>
          <w:sz w:val="22"/>
        </w:rPr>
        <w:t>as soon as possible</w:t>
      </w:r>
      <w:r w:rsidRPr="002E6EB3">
        <w:rPr>
          <w:sz w:val="22"/>
        </w:rPr>
        <w:t xml:space="preserve">, </w:t>
      </w:r>
      <w:r>
        <w:rPr>
          <w:sz w:val="22"/>
        </w:rPr>
        <w:t>to ensure, unlike now, transparency of media ownership</w:t>
      </w:r>
      <w:r w:rsidRPr="002E6EB3">
        <w:rPr>
          <w:sz w:val="22"/>
        </w:rPr>
        <w:t xml:space="preserve">, </w:t>
      </w:r>
      <w:r>
        <w:rPr>
          <w:sz w:val="22"/>
        </w:rPr>
        <w:t>regulated financing of media and transparency of data on significant media financers. Republic Broadcasting Agency should timely react to all cases of program or financial favoring that are contrary to the law and RBA’s mandatory Guidelines</w:t>
      </w:r>
      <w:r w:rsidRPr="002E6EB3">
        <w:rPr>
          <w:sz w:val="22"/>
        </w:rPr>
        <w:t>.</w:t>
      </w:r>
    </w:p>
    <w:p w:rsidR="00DD1E75" w:rsidRPr="002E6EB3" w:rsidRDefault="00DD1E75" w:rsidP="00DD1E75">
      <w:pPr>
        <w:pStyle w:val="ListParagraph"/>
        <w:numPr>
          <w:ilvl w:val="0"/>
          <w:numId w:val="2"/>
        </w:numPr>
        <w:spacing w:line="360" w:lineRule="auto"/>
        <w:jc w:val="both"/>
        <w:rPr>
          <w:sz w:val="22"/>
        </w:rPr>
      </w:pPr>
      <w:r>
        <w:rPr>
          <w:sz w:val="22"/>
        </w:rPr>
        <w:t xml:space="preserve">To </w:t>
      </w:r>
      <w:r w:rsidRPr="002E6EB3">
        <w:rPr>
          <w:b/>
          <w:sz w:val="22"/>
        </w:rPr>
        <w:t>p</w:t>
      </w:r>
      <w:r>
        <w:rPr>
          <w:b/>
          <w:sz w:val="22"/>
        </w:rPr>
        <w:t>recise norms of Law on Financing of Political Activities</w:t>
      </w:r>
      <w:r>
        <w:rPr>
          <w:sz w:val="22"/>
        </w:rPr>
        <w:t>, especially for controversial areas from previous elections – paying of expenses after the election campaign</w:t>
      </w:r>
      <w:r w:rsidRPr="002E6EB3">
        <w:rPr>
          <w:sz w:val="22"/>
        </w:rPr>
        <w:t xml:space="preserve">, </w:t>
      </w:r>
      <w:r>
        <w:rPr>
          <w:sz w:val="22"/>
        </w:rPr>
        <w:t>bank loans</w:t>
      </w:r>
      <w:r w:rsidRPr="002E6EB3">
        <w:rPr>
          <w:sz w:val="22"/>
        </w:rPr>
        <w:t xml:space="preserve">, </w:t>
      </w:r>
      <w:r>
        <w:rPr>
          <w:sz w:val="22"/>
        </w:rPr>
        <w:t>humanitarian activities of political parties and legally vague status of civil groups</w:t>
      </w:r>
      <w:r w:rsidRPr="002E6EB3">
        <w:rPr>
          <w:sz w:val="22"/>
        </w:rPr>
        <w:t xml:space="preserve">. </w:t>
      </w:r>
    </w:p>
    <w:p w:rsidR="00DD1E75" w:rsidRPr="002E6EB3" w:rsidRDefault="00DD1E75" w:rsidP="00DD1E75">
      <w:pPr>
        <w:pStyle w:val="ListParagraph"/>
        <w:numPr>
          <w:ilvl w:val="0"/>
          <w:numId w:val="2"/>
        </w:numPr>
        <w:spacing w:line="360" w:lineRule="auto"/>
        <w:jc w:val="both"/>
        <w:rPr>
          <w:sz w:val="22"/>
        </w:rPr>
      </w:pPr>
      <w:r>
        <w:rPr>
          <w:sz w:val="22"/>
        </w:rPr>
        <w:t xml:space="preserve">To </w:t>
      </w:r>
      <w:r>
        <w:rPr>
          <w:b/>
          <w:sz w:val="22"/>
        </w:rPr>
        <w:t xml:space="preserve">publish, </w:t>
      </w:r>
      <w:r w:rsidRPr="00FB2C96">
        <w:rPr>
          <w:sz w:val="22"/>
        </w:rPr>
        <w:t>with</w:t>
      </w:r>
      <w:r>
        <w:rPr>
          <w:sz w:val="22"/>
        </w:rPr>
        <w:t>in 48 hour deadline,</w:t>
      </w:r>
      <w:r>
        <w:rPr>
          <w:b/>
          <w:sz w:val="22"/>
        </w:rPr>
        <w:t xml:space="preserve"> data on spending of budget assets, taking over of financial commitments and new employments in </w:t>
      </w:r>
      <w:r>
        <w:rPr>
          <w:sz w:val="22"/>
        </w:rPr>
        <w:t>state and local administration</w:t>
      </w:r>
      <w:r w:rsidRPr="002E6EB3">
        <w:rPr>
          <w:sz w:val="22"/>
        </w:rPr>
        <w:t xml:space="preserve">, </w:t>
      </w:r>
      <w:r>
        <w:rPr>
          <w:sz w:val="22"/>
        </w:rPr>
        <w:t xml:space="preserve">public services and enterprises that occurred during election period. To </w:t>
      </w:r>
      <w:r>
        <w:rPr>
          <w:b/>
          <w:sz w:val="22"/>
        </w:rPr>
        <w:t>subject these processes to special control</w:t>
      </w:r>
      <w:r>
        <w:rPr>
          <w:sz w:val="22"/>
        </w:rPr>
        <w:t>, since so far, they frequently served for political promotion and buying of voters’ support</w:t>
      </w:r>
      <w:r w:rsidRPr="002E6EB3">
        <w:rPr>
          <w:sz w:val="22"/>
        </w:rPr>
        <w:t xml:space="preserve">. </w:t>
      </w:r>
    </w:p>
    <w:p w:rsidR="00DD1E75" w:rsidRPr="002E6EB3" w:rsidRDefault="00DD1E75" w:rsidP="00DD1E75">
      <w:pPr>
        <w:pStyle w:val="ListParagraph"/>
        <w:numPr>
          <w:ilvl w:val="0"/>
          <w:numId w:val="2"/>
        </w:numPr>
        <w:spacing w:line="360" w:lineRule="auto"/>
        <w:jc w:val="both"/>
        <w:rPr>
          <w:sz w:val="22"/>
        </w:rPr>
      </w:pPr>
      <w:r>
        <w:rPr>
          <w:b/>
          <w:sz w:val="22"/>
        </w:rPr>
        <w:t>Participants’ election programs should be published at the beginning of the campaign</w:t>
      </w:r>
      <w:r>
        <w:rPr>
          <w:sz w:val="22"/>
        </w:rPr>
        <w:t>, which would provide enough time for experts to provide comments</w:t>
      </w:r>
      <w:r w:rsidRPr="002E6EB3">
        <w:rPr>
          <w:sz w:val="22"/>
        </w:rPr>
        <w:t xml:space="preserve">, </w:t>
      </w:r>
      <w:r>
        <w:rPr>
          <w:sz w:val="22"/>
        </w:rPr>
        <w:t xml:space="preserve">but also for the parties to provide </w:t>
      </w:r>
      <w:r>
        <w:rPr>
          <w:b/>
          <w:sz w:val="22"/>
        </w:rPr>
        <w:t>reasonable explanation on method of accomplishing election promises and financing of announced activities</w:t>
      </w:r>
      <w:r w:rsidRPr="002E6EB3">
        <w:rPr>
          <w:sz w:val="22"/>
        </w:rPr>
        <w:t>.</w:t>
      </w:r>
    </w:p>
    <w:p w:rsidR="00DD1E75" w:rsidRPr="002E6EB3" w:rsidRDefault="00DD1E75" w:rsidP="00DD1E75">
      <w:pPr>
        <w:spacing w:line="360" w:lineRule="auto"/>
        <w:ind w:left="360"/>
        <w:jc w:val="both"/>
        <w:rPr>
          <w:sz w:val="22"/>
        </w:rPr>
      </w:pPr>
      <w:r w:rsidRPr="002E6EB3">
        <w:rPr>
          <w:sz w:val="22"/>
        </w:rPr>
        <w:t>T</w:t>
      </w:r>
      <w:bookmarkStart w:id="0" w:name="_GoBack"/>
      <w:bookmarkEnd w:id="0"/>
      <w:r w:rsidRPr="002E6EB3">
        <w:rPr>
          <w:sz w:val="22"/>
        </w:rPr>
        <w:t>ransparen</w:t>
      </w:r>
      <w:r>
        <w:rPr>
          <w:sz w:val="22"/>
        </w:rPr>
        <w:t>cy</w:t>
      </w:r>
      <w:r w:rsidRPr="002E6EB3">
        <w:rPr>
          <w:sz w:val="22"/>
        </w:rPr>
        <w:t xml:space="preserve"> – S</w:t>
      </w:r>
      <w:r>
        <w:rPr>
          <w:sz w:val="22"/>
        </w:rPr>
        <w:t>e</w:t>
      </w:r>
      <w:r w:rsidRPr="002E6EB3">
        <w:rPr>
          <w:sz w:val="22"/>
        </w:rPr>
        <w:t xml:space="preserve">rbia </w:t>
      </w:r>
    </w:p>
    <w:p w:rsidR="00DD1E75" w:rsidRPr="002E6EB3" w:rsidRDefault="00DD1E75" w:rsidP="00DD1E75">
      <w:pPr>
        <w:spacing w:line="360" w:lineRule="auto"/>
        <w:ind w:left="360"/>
        <w:jc w:val="both"/>
        <w:rPr>
          <w:sz w:val="22"/>
        </w:rPr>
      </w:pPr>
      <w:r w:rsidRPr="002E6EB3">
        <w:rPr>
          <w:sz w:val="22"/>
        </w:rPr>
        <w:t>Be</w:t>
      </w:r>
      <w:r>
        <w:rPr>
          <w:sz w:val="22"/>
        </w:rPr>
        <w:t>l</w:t>
      </w:r>
      <w:r w:rsidRPr="002E6EB3">
        <w:rPr>
          <w:sz w:val="22"/>
        </w:rPr>
        <w:t>grad</w:t>
      </w:r>
      <w:r>
        <w:rPr>
          <w:sz w:val="22"/>
        </w:rPr>
        <w:t>e</w:t>
      </w:r>
      <w:r w:rsidRPr="002E6EB3">
        <w:rPr>
          <w:sz w:val="22"/>
        </w:rPr>
        <w:t>, 4</w:t>
      </w:r>
      <w:r>
        <w:rPr>
          <w:sz w:val="22"/>
        </w:rPr>
        <w:t>th</w:t>
      </w:r>
      <w:r w:rsidRPr="002E6EB3">
        <w:rPr>
          <w:sz w:val="22"/>
        </w:rPr>
        <w:t>October</w:t>
      </w:r>
      <w:r>
        <w:rPr>
          <w:sz w:val="22"/>
        </w:rPr>
        <w:t xml:space="preserve"> 2013</w:t>
      </w:r>
    </w:p>
    <w:p w:rsidR="00DD1E75" w:rsidRPr="002E6EB3" w:rsidRDefault="00DD1E75" w:rsidP="00DD1E75">
      <w:pPr>
        <w:spacing w:line="360" w:lineRule="auto"/>
        <w:jc w:val="both"/>
        <w:rPr>
          <w:sz w:val="22"/>
        </w:rPr>
      </w:pPr>
    </w:p>
    <w:p w:rsidR="00DD1E75" w:rsidRPr="002E6EB3" w:rsidRDefault="00DD1E75" w:rsidP="00DD1E75">
      <w:pPr>
        <w:pStyle w:val="ListParagraph"/>
        <w:spacing w:line="360" w:lineRule="auto"/>
        <w:jc w:val="both"/>
        <w:rPr>
          <w:sz w:val="22"/>
        </w:rPr>
      </w:pPr>
    </w:p>
    <w:p w:rsidR="00DD1E75" w:rsidRDefault="00DD1E75" w:rsidP="00DD1E75">
      <w:pPr>
        <w:spacing w:line="360" w:lineRule="auto"/>
        <w:rPr>
          <w:sz w:val="24"/>
          <w:szCs w:val="24"/>
          <w:lang w:val="sr-Latn-CS"/>
        </w:rPr>
      </w:pPr>
    </w:p>
    <w:p w:rsidR="00DD1E75" w:rsidRPr="00DF31C1" w:rsidRDefault="00DD1E75" w:rsidP="00DD1E75">
      <w:pPr>
        <w:spacing w:line="360" w:lineRule="auto"/>
        <w:jc w:val="both"/>
        <w:rPr>
          <w:rFonts w:ascii="Arial" w:hAnsi="Arial" w:cs="Arial"/>
          <w:sz w:val="24"/>
          <w:szCs w:val="24"/>
          <w:lang w:val="sr-Latn-CS"/>
        </w:rPr>
      </w:pPr>
    </w:p>
    <w:p w:rsidR="00DD1E75" w:rsidRPr="00FA0752" w:rsidRDefault="00DD1E75" w:rsidP="00DD1E75">
      <w:pPr>
        <w:spacing w:line="360" w:lineRule="auto"/>
        <w:ind w:left="360"/>
        <w:jc w:val="both"/>
        <w:rPr>
          <w:sz w:val="22"/>
          <w:szCs w:val="22"/>
          <w:lang w:val="sr-Latn-CS"/>
        </w:rPr>
      </w:pPr>
    </w:p>
    <w:p w:rsidR="003E0A5B" w:rsidRDefault="003E0A5B" w:rsidP="00191AE6">
      <w:pPr>
        <w:rPr>
          <w:sz w:val="24"/>
          <w:szCs w:val="24"/>
          <w:lang w:val="sr-Latn-CS"/>
        </w:rPr>
      </w:pPr>
    </w:p>
    <w:p w:rsidR="00686DFD" w:rsidRPr="00DF31C1" w:rsidRDefault="00686DFD" w:rsidP="00686DFD">
      <w:pPr>
        <w:jc w:val="both"/>
        <w:rPr>
          <w:rFonts w:ascii="Arial" w:hAnsi="Arial" w:cs="Arial"/>
          <w:sz w:val="24"/>
          <w:szCs w:val="24"/>
          <w:lang w:val="sr-Latn-CS"/>
        </w:rPr>
      </w:pPr>
    </w:p>
    <w:p w:rsidR="007846BB" w:rsidRPr="00FA0752" w:rsidRDefault="007846BB" w:rsidP="00FA0752">
      <w:pPr>
        <w:spacing w:line="360" w:lineRule="auto"/>
        <w:ind w:left="360"/>
        <w:jc w:val="both"/>
        <w:rPr>
          <w:sz w:val="22"/>
          <w:szCs w:val="22"/>
          <w:lang w:val="sr-Latn-CS"/>
        </w:rPr>
      </w:pPr>
    </w:p>
    <w:sectPr w:rsidR="007846BB" w:rsidRPr="00FA0752" w:rsidSect="00686DFD">
      <w:headerReference w:type="default" r:id="rId7"/>
      <w:footerReference w:type="default" r:id="rId8"/>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18" w:rsidRDefault="00E11918">
      <w:r>
        <w:separator/>
      </w:r>
    </w:p>
  </w:endnote>
  <w:endnote w:type="continuationSeparator" w:id="1">
    <w:p w:rsidR="00E11918" w:rsidRDefault="00E11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FA52DC" w:rsidRDefault="00FA52DC" w:rsidP="00FA52DC">
    <w:pPr>
      <w:pStyle w:val="Footer"/>
      <w:ind w:right="360" w:firstLine="360"/>
      <w:jc w:val="center"/>
      <w:rPr>
        <w:rFonts w:ascii="Tahoma" w:hAnsi="Tahoma" w:cs="Tahoma"/>
        <w:color w:val="000000"/>
        <w:sz w:val="16"/>
        <w:szCs w:val="16"/>
      </w:rPr>
    </w:pPr>
    <w:r w:rsidRPr="00FA52DC">
      <w:rPr>
        <w:rFonts w:ascii="Tahoma" w:hAnsi="Tahoma" w:cs="Tahoma"/>
        <w:sz w:val="16"/>
        <w:szCs w:val="16"/>
        <w:lang w:val="sl-SI"/>
      </w:rPr>
      <w:t xml:space="preserve">TRANSPARENCY SERBIA </w:t>
    </w:r>
    <w:r w:rsidRPr="00FA52DC">
      <w:rPr>
        <w:rFonts w:ascii="Tahoma" w:hAnsi="Tahoma" w:cs="Tahoma"/>
        <w:color w:val="000000"/>
        <w:sz w:val="16"/>
        <w:szCs w:val="16"/>
      </w:rPr>
      <w:t>is national chapter and representative</w:t>
    </w:r>
  </w:p>
  <w:p w:rsidR="005A4E20" w:rsidRPr="00FA52DC" w:rsidRDefault="00FA52DC" w:rsidP="00FA52DC">
    <w:pPr>
      <w:pStyle w:val="Footer"/>
      <w:ind w:right="360" w:firstLine="360"/>
      <w:jc w:val="center"/>
      <w:rPr>
        <w:rFonts w:ascii="Tahoma" w:hAnsi="Tahoma" w:cs="Tahoma"/>
        <w:sz w:val="16"/>
        <w:szCs w:val="16"/>
        <w:lang w:val="sl-SI"/>
      </w:rPr>
    </w:pPr>
    <w:r w:rsidRPr="00FA52DC">
      <w:rPr>
        <w:rFonts w:ascii="Tahoma" w:hAnsi="Tahoma" w:cs="Tahoma"/>
        <w:color w:val="000000"/>
        <w:sz w:val="16"/>
        <w:szCs w:val="16"/>
      </w:rPr>
      <w:t xml:space="preserve"> of </w:t>
    </w:r>
    <w:r w:rsidRPr="00FA52DC">
      <w:rPr>
        <w:rFonts w:ascii="Tahoma" w:hAnsi="Tahoma" w:cs="Tahoma"/>
        <w:sz w:val="16"/>
        <w:szCs w:val="16"/>
        <w:lang w:val="sl-SI"/>
      </w:rPr>
      <w:t>TRANSPARENCY INTERNATI</w:t>
    </w:r>
    <w:r w:rsidRPr="00FA52DC">
      <w:rPr>
        <w:rFonts w:ascii="Tahoma" w:hAnsi="Tahoma" w:cs="Tahoma"/>
        <w:sz w:val="16"/>
        <w:szCs w:val="16"/>
        <w:lang w:val="sl-SI"/>
      </w:rPr>
      <w:t>O</w:t>
    </w:r>
    <w:r w:rsidRPr="00FA52DC">
      <w:rPr>
        <w:rFonts w:ascii="Tahoma" w:hAnsi="Tahoma" w:cs="Tahoma"/>
        <w:sz w:val="16"/>
        <w:szCs w:val="16"/>
        <w:lang w:val="sl-SI"/>
      </w:rPr>
      <w:t xml:space="preserve">NAL </w:t>
    </w:r>
    <w:r w:rsidRPr="00FA52DC">
      <w:rPr>
        <w:rFonts w:ascii="Tahoma" w:hAnsi="Tahoma" w:cs="Tahoma"/>
        <w:color w:val="000000"/>
        <w:sz w:val="16"/>
        <w:szCs w:val="16"/>
      </w:rPr>
      <w:t>in Republic of Serbia</w:t>
    </w:r>
  </w:p>
  <w:p w:rsidR="005A4E20" w:rsidRPr="00FA52DC" w:rsidRDefault="00894B45" w:rsidP="00B768EB">
    <w:pPr>
      <w:pStyle w:val="Footer"/>
      <w:tabs>
        <w:tab w:val="left" w:pos="2130"/>
      </w:tabs>
      <w:jc w:val="center"/>
      <w:rPr>
        <w:rFonts w:ascii="Tahoma" w:hAnsi="Tahoma" w:cs="Tahoma"/>
        <w:sz w:val="16"/>
        <w:szCs w:val="16"/>
        <w:lang w:val="sr-Latn-CS"/>
      </w:rPr>
    </w:pPr>
    <w:hyperlink r:id="rId1" w:history="1">
      <w:r w:rsidRPr="00FA52DC">
        <w:rPr>
          <w:rStyle w:val="Hyperlink"/>
          <w:rFonts w:ascii="Tahoma" w:hAnsi="Tahoma" w:cs="Tahoma"/>
          <w:sz w:val="16"/>
          <w:szCs w:val="16"/>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18" w:rsidRDefault="00E11918">
      <w:r>
        <w:separator/>
      </w:r>
    </w:p>
  </w:footnote>
  <w:footnote w:type="continuationSeparator" w:id="1">
    <w:p w:rsidR="00E11918" w:rsidRDefault="00E11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34pt;height:1in;z-index:251658240" filled="f" strokecolor="white" strokeweight="0">
          <v:textbox style="mso-next-textbox:#_x0000_s2052">
            <w:txbxContent>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Ad</w:t>
                </w:r>
                <w:r w:rsidR="00FA52DC">
                  <w:rPr>
                    <w:rFonts w:ascii="Tahoma" w:hAnsi="Tahoma" w:cs="Tahoma"/>
                    <w:sz w:val="16"/>
                    <w:szCs w:val="16"/>
                    <w:lang w:val="sr-Latn-CS"/>
                  </w:rPr>
                  <w:t>dress</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FA52DC">
                  <w:rPr>
                    <w:rFonts w:ascii="Tahoma" w:hAnsi="Tahoma" w:cs="Tahoma"/>
                    <w:sz w:val="16"/>
                    <w:szCs w:val="16"/>
                    <w:lang w:val="sr-Latn-CS"/>
                  </w:rPr>
                  <w:t>lgrade</w:t>
                </w:r>
                <w:r w:rsidR="005A4E20" w:rsidRPr="005A4E20">
                  <w:rPr>
                    <w:rFonts w:ascii="Tahoma" w:hAnsi="Tahoma" w:cs="Tahoma"/>
                    <w:sz w:val="16"/>
                    <w:szCs w:val="16"/>
                    <w:lang w:val="sr-Latn-CS"/>
                  </w:rPr>
                  <w:t xml:space="preserve">, </w:t>
                </w:r>
                <w:r w:rsidR="00FA52DC">
                  <w:rPr>
                    <w:rFonts w:ascii="Tahoma" w:hAnsi="Tahoma" w:cs="Tahoma"/>
                    <w:sz w:val="16"/>
                    <w:szCs w:val="16"/>
                    <w:lang w:val="sr-Latn-CS"/>
                  </w:rPr>
                  <w:t>Serbia</w:t>
                </w:r>
              </w:p>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 xml:space="preserve"> </w:t>
                </w:r>
                <w:r w:rsidR="00845625">
                  <w:rPr>
                    <w:rFonts w:ascii="Tahoma" w:hAnsi="Tahoma" w:cs="Tahoma"/>
                    <w:sz w:val="16"/>
                    <w:szCs w:val="16"/>
                    <w:lang w:val="sr-Latn-CS"/>
                  </w:rPr>
                  <w:t xml:space="preserve"> </w:t>
                </w:r>
                <w:r w:rsidR="00FA52DC">
                  <w:rPr>
                    <w:rFonts w:ascii="Tahoma" w:hAnsi="Tahoma" w:cs="Tahoma"/>
                    <w:sz w:val="16"/>
                    <w:szCs w:val="16"/>
                    <w:lang w:val="sr-Latn-CS"/>
                  </w:rPr>
                  <w:t>Office</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845625">
                  <w:rPr>
                    <w:rFonts w:ascii="Tahoma" w:hAnsi="Tahoma" w:cs="Tahoma"/>
                    <w:sz w:val="16"/>
                    <w:szCs w:val="16"/>
                    <w:lang w:val="sr-Latn-CS"/>
                  </w:rPr>
                  <w:t xml:space="preserve"> </w:t>
                </w:r>
                <w:r w:rsidR="00FA52DC">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Pr>
                    <w:rFonts w:ascii="Tahoma" w:hAnsi="Tahoma" w:cs="Tahoma"/>
                    <w:sz w:val="16"/>
                    <w:szCs w:val="16"/>
                    <w:lang w:val="sr-Latn-CS"/>
                  </w:rPr>
                  <w:t>3237805</w:t>
                </w:r>
              </w:p>
              <w:p w:rsidR="005A4E20" w:rsidRPr="005A4E20" w:rsidRDefault="00845625" w:rsidP="00845625">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DD1E75">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FA52DC"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Transparency</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FA52DC">
      <w:rPr>
        <w:rFonts w:ascii="Tahoma" w:eastAsia="Arial Unicode MS" w:hAnsi="Tahoma" w:cs="Tahoma"/>
        <w:b/>
        <w:iCs/>
        <w:caps/>
        <w:sz w:val="28"/>
        <w:szCs w:val="28"/>
        <w:lang w:val="sr-Latn-CS"/>
      </w:rPr>
      <w:t>erbia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9578D"/>
    <w:multiLevelType w:val="hybridMultilevel"/>
    <w:tmpl w:val="F1B65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21344"/>
    <w:rsid w:val="000459BF"/>
    <w:rsid w:val="0009480A"/>
    <w:rsid w:val="00094829"/>
    <w:rsid w:val="000A6379"/>
    <w:rsid w:val="000C3237"/>
    <w:rsid w:val="000E06BE"/>
    <w:rsid w:val="000F0F38"/>
    <w:rsid w:val="00104CA4"/>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66A04"/>
    <w:rsid w:val="002831ED"/>
    <w:rsid w:val="00283CB7"/>
    <w:rsid w:val="002B05EB"/>
    <w:rsid w:val="002B296E"/>
    <w:rsid w:val="002B5DD8"/>
    <w:rsid w:val="002D1C16"/>
    <w:rsid w:val="002F70D8"/>
    <w:rsid w:val="00301C8F"/>
    <w:rsid w:val="003055AF"/>
    <w:rsid w:val="00316525"/>
    <w:rsid w:val="00321827"/>
    <w:rsid w:val="003429EF"/>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3422"/>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45625"/>
    <w:rsid w:val="0085256C"/>
    <w:rsid w:val="008572E4"/>
    <w:rsid w:val="00881A2D"/>
    <w:rsid w:val="00894B45"/>
    <w:rsid w:val="008A5977"/>
    <w:rsid w:val="008C1CA5"/>
    <w:rsid w:val="008D6944"/>
    <w:rsid w:val="008E2E83"/>
    <w:rsid w:val="008E6195"/>
    <w:rsid w:val="008F0C15"/>
    <w:rsid w:val="009208B0"/>
    <w:rsid w:val="00932A0B"/>
    <w:rsid w:val="009339CF"/>
    <w:rsid w:val="00933E8A"/>
    <w:rsid w:val="00954BD8"/>
    <w:rsid w:val="00973EC2"/>
    <w:rsid w:val="009B64E3"/>
    <w:rsid w:val="009C3658"/>
    <w:rsid w:val="009C6383"/>
    <w:rsid w:val="009E7F8F"/>
    <w:rsid w:val="00A20FAA"/>
    <w:rsid w:val="00A47E55"/>
    <w:rsid w:val="00A640C2"/>
    <w:rsid w:val="00A82CD4"/>
    <w:rsid w:val="00A930A4"/>
    <w:rsid w:val="00A94592"/>
    <w:rsid w:val="00AA447C"/>
    <w:rsid w:val="00AA6DC6"/>
    <w:rsid w:val="00AB2094"/>
    <w:rsid w:val="00AB3EDC"/>
    <w:rsid w:val="00AC319C"/>
    <w:rsid w:val="00AD25BD"/>
    <w:rsid w:val="00AE1E51"/>
    <w:rsid w:val="00AF2058"/>
    <w:rsid w:val="00B065A1"/>
    <w:rsid w:val="00B163BE"/>
    <w:rsid w:val="00B33BDC"/>
    <w:rsid w:val="00B4653C"/>
    <w:rsid w:val="00B530C0"/>
    <w:rsid w:val="00B56320"/>
    <w:rsid w:val="00B61664"/>
    <w:rsid w:val="00B70218"/>
    <w:rsid w:val="00B768EB"/>
    <w:rsid w:val="00B80C48"/>
    <w:rsid w:val="00B95A38"/>
    <w:rsid w:val="00B9786A"/>
    <w:rsid w:val="00BA2EB8"/>
    <w:rsid w:val="00BC0135"/>
    <w:rsid w:val="00BD5148"/>
    <w:rsid w:val="00BE47B0"/>
    <w:rsid w:val="00BF2454"/>
    <w:rsid w:val="00C14486"/>
    <w:rsid w:val="00C4772B"/>
    <w:rsid w:val="00C833CC"/>
    <w:rsid w:val="00C949F8"/>
    <w:rsid w:val="00CB3A62"/>
    <w:rsid w:val="00CB409A"/>
    <w:rsid w:val="00CD4422"/>
    <w:rsid w:val="00CF20A1"/>
    <w:rsid w:val="00D249D0"/>
    <w:rsid w:val="00D45431"/>
    <w:rsid w:val="00D57133"/>
    <w:rsid w:val="00D6180E"/>
    <w:rsid w:val="00D8622F"/>
    <w:rsid w:val="00DB3CEE"/>
    <w:rsid w:val="00DC1F8E"/>
    <w:rsid w:val="00DC52BD"/>
    <w:rsid w:val="00DC773E"/>
    <w:rsid w:val="00DC7D8E"/>
    <w:rsid w:val="00DD1E75"/>
    <w:rsid w:val="00DE219B"/>
    <w:rsid w:val="00DF1335"/>
    <w:rsid w:val="00DF1F83"/>
    <w:rsid w:val="00DF31C1"/>
    <w:rsid w:val="00DF5DF9"/>
    <w:rsid w:val="00E11918"/>
    <w:rsid w:val="00E307DA"/>
    <w:rsid w:val="00E35FF4"/>
    <w:rsid w:val="00E523D6"/>
    <w:rsid w:val="00EA54C2"/>
    <w:rsid w:val="00EB1D48"/>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813D0"/>
    <w:rsid w:val="00F8433E"/>
    <w:rsid w:val="00F931AB"/>
    <w:rsid w:val="00F935B5"/>
    <w:rsid w:val="00FA0752"/>
    <w:rsid w:val="00FA52DC"/>
    <w:rsid w:val="00FA5624"/>
    <w:rsid w:val="00FB1D3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ListParagraph">
    <w:name w:val="List Paragraph"/>
    <w:basedOn w:val="Normal"/>
    <w:uiPriority w:val="34"/>
    <w:qFormat/>
    <w:rsid w:val="00DD1E75"/>
    <w:pPr>
      <w:suppressAutoHyphens w:val="0"/>
      <w:spacing w:after="200" w:line="276" w:lineRule="auto"/>
      <w:ind w:left="720"/>
      <w:contextualSpacing/>
    </w:pPr>
    <w:rPr>
      <w:rFonts w:ascii="Calibri" w:eastAsia="Calibri" w:hAnsi="Calibri" w:cs="Calibri"/>
      <w:sz w:val="24"/>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3308</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dc:description/>
  <cp:lastModifiedBy>Marija</cp:lastModifiedBy>
  <cp:revision>2</cp:revision>
  <cp:lastPrinted>2007-06-25T13:35:00Z</cp:lastPrinted>
  <dcterms:created xsi:type="dcterms:W3CDTF">2013-10-04T11:31:00Z</dcterms:created>
  <dcterms:modified xsi:type="dcterms:W3CDTF">2013-10-04T11:31:00Z</dcterms:modified>
</cp:coreProperties>
</file>